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506598</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CSSF outside gap in CA/DC</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7E3750B6">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CSSF outside gap in CA/DC</w:t>
      </w:r>
      <w:r>
        <w:rPr>
          <w:rFonts w:hint="eastAsia" w:ascii="Times New Roman" w:hAnsi="Times New Roman"/>
          <w:bCs/>
          <w:iCs/>
          <w:sz w:val="20"/>
          <w:szCs w:val="20"/>
        </w:rPr>
        <w:t>.</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6DB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51DFB58A">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1-2-2: Expand solution 1 to FR1 case</w:t>
            </w:r>
          </w:p>
          <w:p w14:paraId="0E4444DB">
            <w:pPr>
              <w:rPr>
                <w:rFonts w:hint="default" w:ascii="Times New Roman" w:hAnsi="Times New Roman" w:cs="Times New Roman"/>
                <w:b/>
                <w:color w:val="0070C0"/>
                <w:sz w:val="20"/>
                <w:szCs w:val="20"/>
                <w:u w:val="single"/>
                <w:lang w:eastAsia="ko-KR"/>
              </w:rPr>
            </w:pPr>
          </w:p>
          <w:p w14:paraId="6C12313D">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(Nokia, Apple, CTC): Expand the solution 1 to FR1 band.</w:t>
            </w:r>
          </w:p>
          <w:p w14:paraId="10F7ED65">
            <w:pPr>
              <w:numPr>
                <w:ilvl w:val="1"/>
                <w:numId w:val="8"/>
              </w:numPr>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Option 1a (Nokia):</w:t>
            </w:r>
            <w:r>
              <w:rPr>
                <w:rFonts w:hint="default" w:ascii="Times New Roman" w:hAnsi="Times New Roman" w:eastAsia="宋体" w:cs="Times New Roman"/>
                <w:sz w:val="20"/>
                <w:szCs w:val="20"/>
              </w:rPr>
              <w:t xml:space="preserve"> </w:t>
            </w:r>
          </w:p>
          <w:p w14:paraId="125AF550">
            <w:pPr>
              <w:numPr>
                <w:ilvl w:val="2"/>
                <w:numId w:val="8"/>
              </w:numPr>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sz w:val="20"/>
                <w:szCs w:val="20"/>
              </w:rPr>
              <w:t xml:space="preserve">Expand the solution 1 to </w:t>
            </w:r>
            <w:r>
              <w:rPr>
                <w:rFonts w:hint="default" w:ascii="Times New Roman" w:hAnsi="Times New Roman" w:eastAsia="宋体" w:cs="Times New Roman"/>
                <w:bCs/>
                <w:sz w:val="20"/>
                <w:szCs w:val="20"/>
              </w:rPr>
              <w:t>at least FR1 intra-band contiguous CA.</w:t>
            </w:r>
          </w:p>
          <w:p w14:paraId="4681CBB0">
            <w:pPr>
              <w:numPr>
                <w:ilvl w:val="2"/>
                <w:numId w:val="8"/>
              </w:numPr>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bCs/>
                <w:sz w:val="20"/>
                <w:szCs w:val="20"/>
              </w:rPr>
              <w:t xml:space="preserve">Details: </w:t>
            </w:r>
          </w:p>
          <w:p w14:paraId="7C6FFFAB">
            <w:pPr>
              <w:numPr>
                <w:ilvl w:val="3"/>
                <w:numId w:val="8"/>
              </w:numPr>
              <w:snapToGrid w:val="0"/>
              <w:spacing w:after="120"/>
              <w:rPr>
                <w:rFonts w:hint="default" w:ascii="Times New Roman" w:hAnsi="Times New Roman" w:cs="Times New Roman"/>
                <w:bCs/>
                <w:sz w:val="20"/>
                <w:szCs w:val="20"/>
              </w:rPr>
            </w:pPr>
            <w:r>
              <w:rPr>
                <w:rFonts w:hint="default" w:ascii="Times New Roman" w:hAnsi="Times New Roman" w:cs="Times New Roman"/>
                <w:bCs/>
                <w:sz w:val="20"/>
                <w:szCs w:val="20"/>
              </w:rPr>
              <w:t xml:space="preserve">Network indicates to enable or disable this CSSF enhancement i.e. measuring one serving CC per band for FR1 and FR2 separately. </w:t>
            </w:r>
          </w:p>
          <w:p w14:paraId="6FB03010">
            <w:pPr>
              <w:numPr>
                <w:ilvl w:val="3"/>
                <w:numId w:val="8"/>
              </w:numPr>
              <w:snapToGrid w:val="0"/>
              <w:spacing w:after="120"/>
              <w:rPr>
                <w:rFonts w:hint="default" w:ascii="Times New Roman" w:hAnsi="Times New Roman" w:eastAsia="宋体" w:cs="Times New Roman"/>
                <w:iCs/>
                <w:sz w:val="20"/>
                <w:szCs w:val="20"/>
              </w:rPr>
            </w:pPr>
            <w:r>
              <w:rPr>
                <w:rFonts w:hint="default" w:ascii="Times New Roman" w:hAnsi="Times New Roman" w:cs="Times New Roman"/>
                <w:bCs/>
                <w:sz w:val="20"/>
                <w:szCs w:val="20"/>
              </w:rPr>
              <w:t>When</w:t>
            </w:r>
            <w:r>
              <w:rPr>
                <w:rFonts w:hint="default" w:ascii="Times New Roman" w:hAnsi="Times New Roman" w:eastAsia="宋体" w:cs="Times New Roman"/>
                <w:bCs/>
                <w:sz w:val="20"/>
                <w:szCs w:val="20"/>
              </w:rPr>
              <w:t xml:space="preserve"> </w:t>
            </w:r>
            <w:r>
              <w:rPr>
                <w:rFonts w:hint="default" w:ascii="Times New Roman" w:hAnsi="Times New Roman" w:cs="Times New Roman"/>
                <w:bCs/>
                <w:sz w:val="20"/>
                <w:szCs w:val="20"/>
              </w:rPr>
              <w:t>network</w:t>
            </w:r>
            <w:r>
              <w:rPr>
                <w:rFonts w:hint="default" w:ascii="Times New Roman" w:hAnsi="Times New Roman" w:eastAsia="宋体" w:cs="Times New Roman"/>
                <w:bCs/>
                <w:sz w:val="20"/>
                <w:szCs w:val="20"/>
              </w:rPr>
              <w:t xml:space="preserve"> indicates to enable Tentative solution 1 for FR1 bands, UE is required to measure serving and neighbor cells on one serving CC per band when configured with FR1 intra-band contiguous CA.</w:t>
            </w:r>
          </w:p>
          <w:p w14:paraId="7281E573">
            <w:pPr>
              <w:pStyle w:val="10"/>
              <w:numPr>
                <w:ilvl w:val="0"/>
                <w:numId w:val="8"/>
              </w:numPr>
              <w:overflowPunct/>
              <w:autoSpaceDE/>
              <w:autoSpaceDN/>
              <w:adjustRightInd/>
              <w:spacing w:after="120"/>
              <w:ind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rPr>
              <w:t>Option 2 (Huawei): Not to expand solution 1 to FR1 band.</w:t>
            </w:r>
          </w:p>
        </w:tc>
      </w:tr>
    </w:tbl>
    <w:p w14:paraId="6EFFA9B0">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Solution 1 is to measure one serving CC per band. I</w:t>
      </w:r>
      <w:r>
        <w:rPr>
          <w:rFonts w:hint="eastAsia" w:ascii="Times New Roman" w:hAnsi="Times New Roman" w:cs="Times New Roman"/>
          <w:sz w:val="20"/>
          <w:szCs w:val="20"/>
          <w:lang w:val="en-US" w:eastAsia="zh-CN"/>
        </w:rPr>
        <w:t xml:space="preserve">n legacy, for FR2, UE shall also be capable of performing SS-RSRP, SS-RSRQ, and SS-SINR measurements for at least 2 SSBs on serving cell for each of the other intra-frequency layer(s) in the same band. With solution 1, UE only need to measure one serving CC per band.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EAF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5962EE">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1-3-1: Tentative solution 1: measure one serving CC per band</w:t>
            </w:r>
          </w:p>
          <w:p w14:paraId="5F2CB78E">
            <w:pPr>
              <w:rPr>
                <w:rFonts w:hint="default" w:ascii="Times New Roman" w:hAnsi="Times New Roman" w:cs="Times New Roman"/>
                <w:b/>
                <w:color w:val="0070C0"/>
                <w:sz w:val="20"/>
                <w:szCs w:val="20"/>
                <w:u w:val="single"/>
                <w:lang w:eastAsia="ko-KR"/>
              </w:rPr>
            </w:pPr>
          </w:p>
          <w:p w14:paraId="77CB02AC">
            <w:pPr>
              <w:overflowPunct w:val="0"/>
              <w:autoSpaceDE w:val="0"/>
              <w:autoSpaceDN w:val="0"/>
              <w:adjustRightInd w:val="0"/>
              <w:snapToGrid w:val="0"/>
              <w:spacing w:after="120"/>
              <w:rPr>
                <w:rFonts w:hint="default" w:ascii="Times New Roman" w:hAnsi="Times New Roman" w:eastAsia="等线" w:cs="Times New Roman"/>
                <w:iCs/>
                <w:sz w:val="20"/>
                <w:szCs w:val="20"/>
                <w:highlight w:val="green"/>
                <w:lang w:val="en-GB"/>
              </w:rPr>
            </w:pPr>
            <w:r>
              <w:rPr>
                <w:rFonts w:hint="default" w:ascii="Times New Roman" w:hAnsi="Times New Roman" w:eastAsia="等线" w:cs="Times New Roman"/>
                <w:iCs/>
                <w:sz w:val="20"/>
                <w:szCs w:val="20"/>
                <w:highlight w:val="green"/>
                <w:lang w:val="en-GB"/>
              </w:rPr>
              <w:t>Agreement:</w:t>
            </w:r>
          </w:p>
          <w:p w14:paraId="2D3123EF">
            <w:pPr>
              <w:numPr>
                <w:ilvl w:val="0"/>
                <w:numId w:val="8"/>
              </w:numPr>
              <w:autoSpaceDN w:val="0"/>
              <w:snapToGrid w:val="0"/>
              <w:spacing w:after="120"/>
              <w:ind w:left="51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4962E3BA">
            <w:pPr>
              <w:numPr>
                <w:ilvl w:val="1"/>
                <w:numId w:val="8"/>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Network indication of enable/disable this CSSF enhancement is per-UE.</w:t>
            </w:r>
          </w:p>
          <w:p w14:paraId="734B8C2B">
            <w:pPr>
              <w:numPr>
                <w:ilvl w:val="1"/>
                <w:numId w:val="8"/>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Follow the following principle for serving and neighboring cell measurement</w:t>
            </w:r>
          </w:p>
          <w:p w14:paraId="418C4B3E">
            <w:pPr>
              <w:numPr>
                <w:ilvl w:val="2"/>
                <w:numId w:val="8"/>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PCC if PCC in band</w:t>
            </w:r>
          </w:p>
          <w:p w14:paraId="024C0300">
            <w:pPr>
              <w:numPr>
                <w:ilvl w:val="2"/>
                <w:numId w:val="8"/>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PSCC if PSCC in band</w:t>
            </w:r>
          </w:p>
          <w:p w14:paraId="3369C2D4">
            <w:pPr>
              <w:numPr>
                <w:ilvl w:val="2"/>
                <w:numId w:val="8"/>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Measure SCC on which UE is configured to report SSB based measurements, if</w:t>
            </w:r>
          </w:p>
          <w:p w14:paraId="34CFD10F">
            <w:pPr>
              <w:numPr>
                <w:ilvl w:val="3"/>
                <w:numId w:val="8"/>
              </w:numPr>
              <w:suppressAutoHyphens/>
              <w:snapToGrid w:val="0"/>
              <w:spacing w:after="120"/>
              <w:ind w:left="267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there is only one SCC on which UE is configured to report SSB based measurements on same FR2 band and no PCC/PSCC in band</w:t>
            </w:r>
          </w:p>
          <w:p w14:paraId="79EBB512">
            <w:pPr>
              <w:numPr>
                <w:ilvl w:val="1"/>
                <w:numId w:val="8"/>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Follow the network indication to measure a SCC, if</w:t>
            </w:r>
          </w:p>
          <w:p w14:paraId="2DB2608A">
            <w:pPr>
              <w:numPr>
                <w:ilvl w:val="2"/>
                <w:numId w:val="8"/>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neither PCC nor PSCC is in band, and</w:t>
            </w:r>
          </w:p>
          <w:p w14:paraId="682014B0">
            <w:pPr>
              <w:numPr>
                <w:ilvl w:val="2"/>
                <w:numId w:val="8"/>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there is no SCCs on which UE is configured to report SSB based measurements in band, or</w:t>
            </w:r>
          </w:p>
          <w:p w14:paraId="6634F134">
            <w:pPr>
              <w:numPr>
                <w:ilvl w:val="2"/>
                <w:numId w:val="8"/>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there are multiple SCCs on which UE is configured to report SSB based measurements in band.</w:t>
            </w:r>
          </w:p>
          <w:p w14:paraId="73B180B8">
            <w:pPr>
              <w:numPr>
                <w:ilvl w:val="2"/>
                <w:numId w:val="8"/>
              </w:numPr>
              <w:suppressAutoHyphens/>
              <w:snapToGrid w:val="0"/>
              <w:spacing w:after="120"/>
              <w:ind w:left="195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Network indication of a specific SCC per-band for measurement.</w:t>
            </w:r>
          </w:p>
          <w:p w14:paraId="132D4B85">
            <w:pPr>
              <w:numPr>
                <w:ilvl w:val="3"/>
                <w:numId w:val="8"/>
              </w:numPr>
              <w:suppressAutoHyphens/>
              <w:snapToGrid w:val="0"/>
              <w:spacing w:after="120"/>
              <w:ind w:left="2676" w:leftChars="0"/>
              <w:rPr>
                <w:rFonts w:hint="default" w:ascii="Times New Roman" w:hAnsi="Times New Roman" w:eastAsia="宋体" w:cs="Times New Roman"/>
                <w:iCs/>
                <w:sz w:val="20"/>
                <w:szCs w:val="20"/>
                <w:lang w:val="en-GB" w:eastAsia="en-US"/>
              </w:rPr>
            </w:pPr>
            <w:r>
              <w:rPr>
                <w:rFonts w:hint="default" w:ascii="Times New Roman" w:hAnsi="Times New Roman" w:eastAsia="宋体" w:cs="Times New Roman"/>
                <w:iCs/>
                <w:sz w:val="20"/>
                <w:szCs w:val="20"/>
                <w:lang w:val="en-GB" w:eastAsia="en-US"/>
              </w:rPr>
              <w:t>if network indicates which of the SCC to be measured in a band, UE will perform both serving and neighbour cell measurements on the indicated SCC in a band.</w:t>
            </w:r>
          </w:p>
          <w:p w14:paraId="3B62E208">
            <w:pPr>
              <w:numPr>
                <w:ilvl w:val="1"/>
                <w:numId w:val="8"/>
              </w:numPr>
              <w:overflowPunct w:val="0"/>
              <w:autoSpaceDE w:val="0"/>
              <w:autoSpaceDN w:val="0"/>
              <w:adjustRightInd w:val="0"/>
              <w:snapToGrid w:val="0"/>
              <w:spacing w:after="120"/>
              <w:ind w:left="1236" w:left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Otherwise, </w:t>
            </w:r>
            <w:r>
              <w:rPr>
                <w:rFonts w:hint="default" w:ascii="Times New Roman" w:hAnsi="Times New Roman" w:cs="Times New Roman"/>
                <w:iCs/>
                <w:sz w:val="20"/>
                <w:szCs w:val="20"/>
              </w:rPr>
              <w:t>UE will perform serving and neighbor cell measurements on one SCC per band, which SCC to measure is up to UE implementation.</w:t>
            </w:r>
          </w:p>
          <w:p w14:paraId="63F98FDB">
            <w:pPr>
              <w:numPr>
                <w:ilvl w:val="0"/>
                <w:numId w:val="8"/>
              </w:numPr>
              <w:overflowPunct w:val="0"/>
              <w:autoSpaceDE w:val="0"/>
              <w:autoSpaceDN w:val="0"/>
              <w:adjustRightInd w:val="0"/>
              <w:snapToGrid w:val="0"/>
              <w:spacing w:after="120"/>
              <w:ind w:left="516" w:leftChars="0"/>
              <w:rPr>
                <w:rFonts w:hint="default" w:ascii="Times New Roman" w:hAnsi="Times New Roman" w:cs="Times New Roman"/>
                <w:iCs/>
                <w:sz w:val="20"/>
                <w:szCs w:val="20"/>
              </w:rPr>
            </w:pPr>
            <w:r>
              <w:rPr>
                <w:rFonts w:hint="default" w:ascii="Times New Roman" w:hAnsi="Times New Roman" w:cs="Times New Roman"/>
                <w:iCs/>
                <w:sz w:val="20"/>
                <w:szCs w:val="20"/>
              </w:rPr>
              <w:t>Otherwise, UE will follow the R15 spec to perform serving and neighbor cell measurements.</w:t>
            </w:r>
          </w:p>
          <w:p w14:paraId="059FAB5C">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vertAlign w:val="baseline"/>
                <w:lang w:val="en-US" w:eastAsia="zh-CN"/>
              </w:rPr>
            </w:pPr>
            <w:r>
              <w:rPr>
                <w:rFonts w:hint="default" w:ascii="Times New Roman" w:hAnsi="Times New Roman" w:cs="Times New Roman"/>
                <w:iCs/>
                <w:sz w:val="20"/>
                <w:szCs w:val="20"/>
              </w:rPr>
              <w:t>Note: Following the WID, the above agreement applies for the measurement without gap.</w:t>
            </w:r>
          </w:p>
        </w:tc>
      </w:tr>
    </w:tbl>
    <w:p w14:paraId="31EFFBDE">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Solution1 for FR2 is under the consideration that FR2 is noise-limited system rather than interference-limited system, while the situation is different for FR1. In FR1, RSRQ might be different among different serving carriers due to different interference level. In general, it is not preferred to extend solution 1 to FR1. However, as mentioned by companies that it can be considered for certain scenario, e.g. intra-band contiguous CA. Also, whether to enable solution 1 is under network control. With above consideration, we are also fine to extend solution 1 to FR1 intra-band contiguous CA.</w:t>
      </w:r>
    </w:p>
    <w:p w14:paraId="56A64BA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b/>
          <w:bCs/>
          <w:i/>
          <w:iCs/>
          <w:sz w:val="20"/>
          <w:szCs w:val="20"/>
          <w:lang w:val="en-US" w:eastAsia="zh-CN"/>
        </w:rPr>
        <w:t>Proposal 1: it is proposed</w:t>
      </w:r>
      <w:bookmarkStart w:id="8" w:name="_GoBack"/>
      <w:bookmarkEnd w:id="8"/>
      <w:r>
        <w:rPr>
          <w:rFonts w:hint="eastAsia" w:ascii="Times New Roman" w:hAnsi="Times New Roman"/>
          <w:b/>
          <w:bCs/>
          <w:i/>
          <w:iCs/>
          <w:sz w:val="20"/>
          <w:szCs w:val="20"/>
          <w:lang w:val="en-US" w:eastAsia="zh-CN"/>
        </w:rPr>
        <w:t xml:space="preserve"> to extend solution 1 to FR1 intra-band contiguous CA. </w:t>
      </w: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CSSF outside gap in CA/DC. The proposals are:</w:t>
      </w:r>
    </w:p>
    <w:p w14:paraId="14CAF2F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1: it is proposed to extend solution 1 to FR1 intra-band contiguous CA. </w:t>
      </w: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3B8F552A">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R4-2504899</w:t>
      </w:r>
      <w:r>
        <w:rPr>
          <w:rFonts w:hint="eastAsia" w:ascii="Times" w:hAnsi="Times" w:eastAsia="宋体"/>
          <w:b w:val="0"/>
          <w:sz w:val="20"/>
          <w:lang w:val="en-US" w:eastAsia="zh-CN"/>
        </w:rPr>
        <w:t>, WF on RRM requirements for NR_RRM_Ph5_Part1, Apple</w:t>
      </w:r>
    </w:p>
    <w:p w14:paraId="341B5EBE">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1"/>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1"/>
        <w:framePr w:wrap="auto" w:vAnchor="margin" w:hAnchor="text" w:yAlign="inline"/>
        <w:ind w:right="400"/>
        <w:jc w:val="both"/>
        <w:rPr>
          <w:rFonts w:ascii="Times" w:hAnsi="Times" w:eastAsia="宋体"/>
          <w:b w:val="0"/>
          <w:sz w:val="20"/>
          <w:lang w:eastAsia="zh-CN"/>
        </w:rPr>
      </w:pPr>
    </w:p>
    <w:p w14:paraId="0324880D">
      <w:pPr>
        <w:pStyle w:val="11"/>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5"/>
  </w:num>
  <w:num w:numId="4">
    <w:abstractNumId w:val="6"/>
  </w:num>
  <w:num w:numId="5">
    <w:abstractNumId w:val="0"/>
  </w:num>
  <w:num w:numId="6">
    <w:abstractNumId w:val="2"/>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66675EE"/>
    <w:rsid w:val="095F3199"/>
    <w:rsid w:val="0A424F95"/>
    <w:rsid w:val="0C18633A"/>
    <w:rsid w:val="102962AF"/>
    <w:rsid w:val="154B4C98"/>
    <w:rsid w:val="1A9346AF"/>
    <w:rsid w:val="1AFD104A"/>
    <w:rsid w:val="1CA473E9"/>
    <w:rsid w:val="1E262080"/>
    <w:rsid w:val="1EA13FCF"/>
    <w:rsid w:val="1F9B323A"/>
    <w:rsid w:val="20136430"/>
    <w:rsid w:val="210324B5"/>
    <w:rsid w:val="21A66A88"/>
    <w:rsid w:val="22F84732"/>
    <w:rsid w:val="238A445D"/>
    <w:rsid w:val="25E20F82"/>
    <w:rsid w:val="26960BDD"/>
    <w:rsid w:val="27C80F70"/>
    <w:rsid w:val="295A479C"/>
    <w:rsid w:val="2BB92149"/>
    <w:rsid w:val="2E7C01C6"/>
    <w:rsid w:val="32FE5564"/>
    <w:rsid w:val="342A6B27"/>
    <w:rsid w:val="360D33BD"/>
    <w:rsid w:val="36292328"/>
    <w:rsid w:val="39237555"/>
    <w:rsid w:val="39A706A6"/>
    <w:rsid w:val="3B511B0B"/>
    <w:rsid w:val="3C401AE2"/>
    <w:rsid w:val="44525938"/>
    <w:rsid w:val="48823F01"/>
    <w:rsid w:val="501A7B4F"/>
    <w:rsid w:val="52971E0E"/>
    <w:rsid w:val="534263BF"/>
    <w:rsid w:val="55A519A4"/>
    <w:rsid w:val="56185140"/>
    <w:rsid w:val="59B212B6"/>
    <w:rsid w:val="5C2B1D85"/>
    <w:rsid w:val="60455DBA"/>
    <w:rsid w:val="645A4B51"/>
    <w:rsid w:val="663E7534"/>
    <w:rsid w:val="66D222BD"/>
    <w:rsid w:val="6782683B"/>
    <w:rsid w:val="67A4673A"/>
    <w:rsid w:val="67CD705D"/>
    <w:rsid w:val="6A306848"/>
    <w:rsid w:val="6BA25424"/>
    <w:rsid w:val="6BBF44D0"/>
    <w:rsid w:val="6C1808E6"/>
    <w:rsid w:val="6D673814"/>
    <w:rsid w:val="6F126DC6"/>
    <w:rsid w:val="73C17630"/>
    <w:rsid w:val="74C23D1D"/>
    <w:rsid w:val="7B17752E"/>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2025-05-09T08:27:58Z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